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FF62F" w14:textId="721492F0" w:rsidR="00A225F3" w:rsidRPr="00E94CE6" w:rsidRDefault="00832973" w:rsidP="00886DDB">
      <w:pPr>
        <w:widowControl/>
        <w:jc w:val="left"/>
        <w:rPr>
          <w:rFonts w:ascii="仿宋_GB2312" w:eastAsia="仿宋_GB2312" w:hAnsi="Helvetica" w:cs="Helvetica"/>
          <w:b/>
          <w:bCs/>
          <w:kern w:val="0"/>
          <w:sz w:val="28"/>
          <w:szCs w:val="28"/>
        </w:rPr>
      </w:pPr>
      <w:r w:rsidRPr="00E94CE6">
        <w:rPr>
          <w:rFonts w:ascii="仿宋_GB2312" w:eastAsia="仿宋_GB2312" w:hAnsi="Helvetica" w:cs="Helvetica" w:hint="eastAsia"/>
          <w:b/>
          <w:bCs/>
          <w:kern w:val="0"/>
          <w:sz w:val="28"/>
          <w:szCs w:val="28"/>
        </w:rPr>
        <w:t>附件1：</w:t>
      </w:r>
      <w:r w:rsidR="00FE3A69" w:rsidRPr="00E94CE6">
        <w:rPr>
          <w:rFonts w:ascii="仿宋_GB2312" w:eastAsia="仿宋_GB2312" w:hAnsi="Helvetica" w:cs="Helvetica" w:hint="eastAsia"/>
          <w:b/>
          <w:bCs/>
          <w:kern w:val="0"/>
          <w:sz w:val="28"/>
          <w:szCs w:val="28"/>
        </w:rPr>
        <w:t>投稿要求</w:t>
      </w:r>
    </w:p>
    <w:p w14:paraId="02138E26" w14:textId="77777777" w:rsidR="00832973" w:rsidRPr="00832973" w:rsidRDefault="00832973" w:rsidP="00101193">
      <w:pPr>
        <w:widowControl/>
        <w:spacing w:line="375" w:lineRule="atLeast"/>
        <w:jc w:val="left"/>
        <w:outlineLvl w:val="2"/>
        <w:rPr>
          <w:rFonts w:ascii="仿宋_GB2312" w:eastAsia="仿宋_GB2312" w:hAnsi="微软雅黑" w:cs="宋体"/>
          <w:b/>
          <w:bCs/>
          <w:color w:val="034E85"/>
          <w:kern w:val="0"/>
          <w:szCs w:val="21"/>
        </w:rPr>
      </w:pPr>
      <w:r w:rsidRPr="00832973">
        <w:rPr>
          <w:rFonts w:ascii="仿宋_GB2312" w:eastAsia="仿宋_GB2312" w:hAnsi="微软雅黑" w:cs="宋体" w:hint="eastAsia"/>
          <w:b/>
          <w:bCs/>
          <w:color w:val="034E85"/>
          <w:kern w:val="0"/>
          <w:szCs w:val="21"/>
        </w:rPr>
        <w:t xml:space="preserve">征文通知 </w:t>
      </w:r>
    </w:p>
    <w:p w14:paraId="262C932E" w14:textId="6BCD4C1E" w:rsidR="00832973" w:rsidRPr="00E94CE6" w:rsidRDefault="00832973" w:rsidP="009F4232">
      <w:pPr>
        <w:widowControl/>
        <w:ind w:leftChars="100" w:left="210"/>
        <w:jc w:val="left"/>
        <w:rPr>
          <w:rFonts w:ascii="仿宋_GB2312" w:eastAsia="仿宋_GB2312" w:hAnsi="微软雅黑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</w:rPr>
        <w:t>中国国际非开挖技术研讨会暨展览会，本届会议主要事项为：</w:t>
      </w:r>
      <w:r w:rsidRPr="00E94CE6">
        <w:rPr>
          <w:rFonts w:ascii="仿宋_GB2312" w:eastAsia="仿宋_GB2312" w:hAnsi="微软雅黑" w:cs="宋体" w:hint="eastAsia"/>
          <w:color w:val="000000"/>
          <w:kern w:val="0"/>
          <w:sz w:val="23"/>
          <w:szCs w:val="23"/>
        </w:rPr>
        <w:br/>
        <w:t>出版论文集和优秀论文宣读、常务理事会年会、非开挖技术年度人物、优秀工程和产品评选与颁奖、国内外非开挖技术专家专题讲座、非开挖新技术专题研讨会、非开挖新产品报告会、室内外展览等。</w:t>
      </w:r>
    </w:p>
    <w:p w14:paraId="3DEE07B2" w14:textId="3F8F4E92" w:rsidR="00832973" w:rsidRPr="00E94CE6" w:rsidRDefault="00832973" w:rsidP="00832973">
      <w:pPr>
        <w:widowControl/>
        <w:jc w:val="left"/>
        <w:rPr>
          <w:rStyle w:val="title011"/>
          <w:rFonts w:ascii="仿宋_GB2312" w:eastAsia="仿宋_GB2312" w:hAnsi="微软雅黑"/>
        </w:rPr>
      </w:pPr>
      <w:r w:rsidRPr="00E94CE6">
        <w:rPr>
          <w:rStyle w:val="title011"/>
          <w:rFonts w:ascii="仿宋_GB2312" w:eastAsia="仿宋_GB2312" w:hAnsi="微软雅黑" w:hint="eastAsia"/>
        </w:rPr>
        <w:t>征文议题</w:t>
      </w:r>
    </w:p>
    <w:p w14:paraId="77C5FC7F" w14:textId="388872E3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>管线设计与规划</w:t>
      </w:r>
    </w:p>
    <w:p w14:paraId="1CC79533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管道工程 </w:t>
      </w:r>
    </w:p>
    <w:p w14:paraId="2FB39481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隧道工程 </w:t>
      </w:r>
    </w:p>
    <w:p w14:paraId="1754DD93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水平定向钻进 </w:t>
      </w:r>
    </w:p>
    <w:p w14:paraId="2DC51989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导向钻进 </w:t>
      </w:r>
    </w:p>
    <w:p w14:paraId="7D715B08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盾构 </w:t>
      </w:r>
    </w:p>
    <w:p w14:paraId="00BE3FF1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顶管 </w:t>
      </w:r>
    </w:p>
    <w:p w14:paraId="1DA7A1BF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微型隧道 </w:t>
      </w:r>
    </w:p>
    <w:p w14:paraId="42F4E1C6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proofErr w:type="gramStart"/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>夯管及</w:t>
      </w:r>
      <w:proofErr w:type="gramEnd"/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>气动</w:t>
      </w:r>
      <w:proofErr w:type="gramStart"/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>矛</w:t>
      </w:r>
      <w:proofErr w:type="gramEnd"/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 </w:t>
      </w:r>
    </w:p>
    <w:p w14:paraId="47862F8D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管道更换与修复 </w:t>
      </w:r>
    </w:p>
    <w:p w14:paraId="01DB0274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管道检查与清洗 </w:t>
      </w:r>
    </w:p>
    <w:p w14:paraId="49F9C188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管线探测 </w:t>
      </w:r>
    </w:p>
    <w:p w14:paraId="0D824A64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管道工程材料 </w:t>
      </w:r>
    </w:p>
    <w:p w14:paraId="5A6C897C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管线腐蚀与防护 </w:t>
      </w:r>
    </w:p>
    <w:p w14:paraId="10E34BDE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非开挖施工安全 </w:t>
      </w:r>
    </w:p>
    <w:p w14:paraId="7AE233C0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地下管线标准与规范 </w:t>
      </w:r>
    </w:p>
    <w:p w14:paraId="52E83E1E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地下管道评价 </w:t>
      </w:r>
    </w:p>
    <w:p w14:paraId="32A3D7FF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管道工程施工管理 </w:t>
      </w:r>
    </w:p>
    <w:p w14:paraId="52A215F8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地下管网管理信息系统 </w:t>
      </w:r>
    </w:p>
    <w:p w14:paraId="2F31BE1C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地下管网资产管理 </w:t>
      </w:r>
    </w:p>
    <w:p w14:paraId="22570B0B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地下管网灾害与风险评价 </w:t>
      </w:r>
    </w:p>
    <w:p w14:paraId="004F7ACB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地下管道相关法律/法规 </w:t>
      </w:r>
    </w:p>
    <w:p w14:paraId="04267067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地下管线公众和环境安全 </w:t>
      </w:r>
    </w:p>
    <w:p w14:paraId="51B2CACD" w14:textId="77777777" w:rsidR="00832973" w:rsidRPr="00E94CE6" w:rsidRDefault="00832973" w:rsidP="009F4232">
      <w:pPr>
        <w:pStyle w:val="a9"/>
        <w:widowControl/>
        <w:numPr>
          <w:ilvl w:val="0"/>
          <w:numId w:val="6"/>
        </w:numPr>
        <w:ind w:left="0" w:firstLineChars="0" w:firstLine="420"/>
        <w:jc w:val="left"/>
        <w:rPr>
          <w:rFonts w:ascii="仿宋_GB2312" w:eastAsia="仿宋_GB2312" w:cs="宋体"/>
          <w:color w:val="000000"/>
          <w:kern w:val="0"/>
          <w:sz w:val="23"/>
          <w:szCs w:val="23"/>
        </w:rPr>
      </w:pPr>
      <w:r w:rsidRPr="00E94CE6">
        <w:rPr>
          <w:rFonts w:ascii="仿宋_GB2312" w:eastAsia="仿宋_GB2312" w:cs="宋体" w:hint="eastAsia"/>
          <w:color w:val="000000"/>
          <w:kern w:val="0"/>
          <w:sz w:val="23"/>
          <w:szCs w:val="23"/>
        </w:rPr>
        <w:t xml:space="preserve">非开挖技术教育与培训 </w:t>
      </w:r>
    </w:p>
    <w:p w14:paraId="412AC92C" w14:textId="77777777" w:rsidR="00832973" w:rsidRPr="00E94CE6" w:rsidRDefault="00832973" w:rsidP="009F4232">
      <w:pPr>
        <w:widowControl/>
        <w:ind w:left="211" w:hangingChars="100" w:hanging="211"/>
        <w:jc w:val="left"/>
        <w:rPr>
          <w:rFonts w:ascii="仿宋_GB2312" w:eastAsia="仿宋_GB2312" w:hAnsi="微软雅黑"/>
          <w:color w:val="000000"/>
          <w:sz w:val="23"/>
          <w:szCs w:val="23"/>
        </w:rPr>
      </w:pPr>
      <w:r w:rsidRPr="00E94CE6">
        <w:rPr>
          <w:rStyle w:val="title011"/>
          <w:rFonts w:ascii="仿宋_GB2312" w:eastAsia="仿宋_GB2312" w:hAnsi="微软雅黑" w:hint="eastAsia"/>
        </w:rPr>
        <w:t>征文注意事项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t xml:space="preserve"> 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征稿范围：与本次大会的议题相关；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每篇论文字数一般不超过8000字；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论文由《非开挖技术》刊登出版；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投稿方式：以Email供稿，容量过大的稿件，特别是图片较多时，请分次发送；文本文件用doc文档、图片文件用jpg格式编辑；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来稿请注明作者的详细联系方式，包括：email、通讯地址、联系电话等；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论文格式：题目－作者姓名－作者所在单位及地址－摘要－关键词－全文－参考资料－英文题目－英文文摘及关键词；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来稿录用后不收取版面费（产品介绍除外），也不付稿费（特约稿除外）；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在校学生投稿并准备在会上宣读论文的话，可向CSTT申请赞助参加大会，CSTT可全额度资助，详情登录www.cstt.org网站查询；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lastRenderedPageBreak/>
        <w:t>来稿截止日：03月15日；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</w:r>
      <w:r w:rsidRPr="00E94CE6">
        <w:rPr>
          <w:rStyle w:val="title011"/>
          <w:rFonts w:ascii="仿宋_GB2312" w:eastAsia="仿宋_GB2312" w:hAnsi="微软雅黑" w:hint="eastAsia"/>
        </w:rPr>
        <w:t>投稿联系方式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t xml:space="preserve"> </w:t>
      </w:r>
    </w:p>
    <w:p w14:paraId="061A9647" w14:textId="230F6551" w:rsidR="00832973" w:rsidRPr="00E94CE6" w:rsidRDefault="00832973" w:rsidP="009F4232">
      <w:pPr>
        <w:widowControl/>
        <w:ind w:leftChars="200" w:left="420"/>
        <w:jc w:val="left"/>
        <w:rPr>
          <w:rFonts w:ascii="仿宋_GB2312" w:eastAsia="仿宋_GB2312" w:hAnsi="Helvetica" w:cs="Helvetica"/>
          <w:kern w:val="0"/>
          <w:szCs w:val="21"/>
        </w:rPr>
      </w:pP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t>Email：</w:t>
      </w:r>
      <w:r w:rsidR="00C7360F" w:rsidRPr="00E94CE6">
        <w:rPr>
          <w:rFonts w:ascii="仿宋_GB2312" w:eastAsia="仿宋_GB2312" w:hAnsi="微软雅黑" w:hint="eastAsia"/>
          <w:color w:val="000000"/>
          <w:sz w:val="23"/>
          <w:szCs w:val="23"/>
        </w:rPr>
        <w:t>wanglu666@cugb.edu.cn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br/>
        <w:t>电话：+86-10-</w:t>
      </w:r>
      <w:r w:rsidR="00C7360F" w:rsidRPr="00E94CE6">
        <w:rPr>
          <w:rFonts w:ascii="仿宋_GB2312" w:eastAsia="仿宋_GB2312" w:hAnsi="微软雅黑" w:hint="eastAsia"/>
          <w:color w:val="000000"/>
          <w:sz w:val="23"/>
          <w:szCs w:val="23"/>
        </w:rPr>
        <w:t>82323273</w:t>
      </w:r>
      <w:r w:rsidRPr="00E94CE6">
        <w:rPr>
          <w:rFonts w:ascii="仿宋_GB2312" w:eastAsia="仿宋_GB2312" w:hAnsi="微软雅黑" w:hint="eastAsia"/>
          <w:color w:val="000000"/>
          <w:sz w:val="23"/>
          <w:szCs w:val="23"/>
        </w:rPr>
        <w:t>；+86-0-</w:t>
      </w:r>
      <w:r w:rsidR="00C7360F" w:rsidRPr="00E94CE6">
        <w:rPr>
          <w:rFonts w:ascii="仿宋_GB2312" w:eastAsia="仿宋_GB2312" w:hAnsi="微软雅黑" w:hint="eastAsia"/>
          <w:color w:val="000000"/>
          <w:sz w:val="23"/>
          <w:szCs w:val="23"/>
        </w:rPr>
        <w:t>15311421516</w:t>
      </w:r>
    </w:p>
    <w:p w14:paraId="63ACD7E0" w14:textId="77777777" w:rsidR="00832973" w:rsidRDefault="00832973" w:rsidP="00886DDB">
      <w:pPr>
        <w:widowControl/>
        <w:jc w:val="left"/>
        <w:rPr>
          <w:rFonts w:ascii="华文新魏" w:eastAsia="华文新魏" w:hAnsi="Helvetica" w:cs="Helvetica" w:hint="eastAsia"/>
          <w:kern w:val="0"/>
          <w:szCs w:val="21"/>
        </w:rPr>
        <w:sectPr w:rsidR="008329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E97753" w14:textId="77777777" w:rsidR="0067184E" w:rsidRPr="00427B86" w:rsidRDefault="0067184E" w:rsidP="00427B86">
      <w:pPr>
        <w:widowControl/>
        <w:jc w:val="left"/>
        <w:rPr>
          <w:rFonts w:ascii="仿宋_GB2312" w:eastAsia="仿宋_GB2312" w:hint="eastAsia"/>
          <w:sz w:val="24"/>
          <w:szCs w:val="24"/>
        </w:rPr>
      </w:pPr>
    </w:p>
    <w:sectPr w:rsidR="0067184E" w:rsidRPr="0042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79143" w14:textId="77777777" w:rsidR="008B357E" w:rsidRDefault="008B357E" w:rsidP="00F41129">
      <w:r>
        <w:separator/>
      </w:r>
    </w:p>
  </w:endnote>
  <w:endnote w:type="continuationSeparator" w:id="0">
    <w:p w14:paraId="718F1E23" w14:textId="77777777" w:rsidR="008B357E" w:rsidRDefault="008B357E" w:rsidP="00F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B5F7" w14:textId="77777777" w:rsidR="008B357E" w:rsidRDefault="008B357E" w:rsidP="00F41129">
      <w:r>
        <w:separator/>
      </w:r>
    </w:p>
  </w:footnote>
  <w:footnote w:type="continuationSeparator" w:id="0">
    <w:p w14:paraId="7E85BD9B" w14:textId="77777777" w:rsidR="008B357E" w:rsidRDefault="008B357E" w:rsidP="00F4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0A32"/>
    <w:multiLevelType w:val="hybridMultilevel"/>
    <w:tmpl w:val="48AED102"/>
    <w:lvl w:ilvl="0" w:tplc="A76664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C6938CA"/>
    <w:multiLevelType w:val="multilevel"/>
    <w:tmpl w:val="B81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7D4893"/>
    <w:multiLevelType w:val="multilevel"/>
    <w:tmpl w:val="FD1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4328D"/>
    <w:multiLevelType w:val="hybridMultilevel"/>
    <w:tmpl w:val="CE32E7FE"/>
    <w:lvl w:ilvl="0" w:tplc="5D68BD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64D43D1"/>
    <w:multiLevelType w:val="multilevel"/>
    <w:tmpl w:val="E0BC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9108C"/>
    <w:multiLevelType w:val="multilevel"/>
    <w:tmpl w:val="FA6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855033"/>
    <w:multiLevelType w:val="hybridMultilevel"/>
    <w:tmpl w:val="E786B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B"/>
    <w:rsid w:val="00101193"/>
    <w:rsid w:val="00102FE5"/>
    <w:rsid w:val="002516B5"/>
    <w:rsid w:val="003429B3"/>
    <w:rsid w:val="004278D3"/>
    <w:rsid w:val="00427B86"/>
    <w:rsid w:val="00447ECE"/>
    <w:rsid w:val="004F66F0"/>
    <w:rsid w:val="00551647"/>
    <w:rsid w:val="005C1B7B"/>
    <w:rsid w:val="005C616F"/>
    <w:rsid w:val="0067184E"/>
    <w:rsid w:val="00711127"/>
    <w:rsid w:val="007709B0"/>
    <w:rsid w:val="007D2B54"/>
    <w:rsid w:val="007F2089"/>
    <w:rsid w:val="00832973"/>
    <w:rsid w:val="00862E81"/>
    <w:rsid w:val="00886DDB"/>
    <w:rsid w:val="008B357E"/>
    <w:rsid w:val="00940AF0"/>
    <w:rsid w:val="00957859"/>
    <w:rsid w:val="00997BF5"/>
    <w:rsid w:val="009C0192"/>
    <w:rsid w:val="009D2238"/>
    <w:rsid w:val="009F4232"/>
    <w:rsid w:val="00A225F3"/>
    <w:rsid w:val="00A47178"/>
    <w:rsid w:val="00AA1B72"/>
    <w:rsid w:val="00AD448E"/>
    <w:rsid w:val="00B8512C"/>
    <w:rsid w:val="00C501CE"/>
    <w:rsid w:val="00C7360F"/>
    <w:rsid w:val="00D276EF"/>
    <w:rsid w:val="00DA1A05"/>
    <w:rsid w:val="00DF0DA9"/>
    <w:rsid w:val="00E049D7"/>
    <w:rsid w:val="00E15079"/>
    <w:rsid w:val="00E216C6"/>
    <w:rsid w:val="00E529DD"/>
    <w:rsid w:val="00E94CE6"/>
    <w:rsid w:val="00EB1F78"/>
    <w:rsid w:val="00EE1ABB"/>
    <w:rsid w:val="00EF1653"/>
    <w:rsid w:val="00F00866"/>
    <w:rsid w:val="00F41129"/>
    <w:rsid w:val="00FB66D6"/>
    <w:rsid w:val="00FD0CA1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BEC2"/>
  <w15:chartTrackingRefBased/>
  <w15:docId w15:val="{F1BF038D-2FCB-46F2-A0C4-5566AEB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DD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86DDB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41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11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41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41129"/>
    <w:rPr>
      <w:sz w:val="18"/>
      <w:szCs w:val="18"/>
    </w:rPr>
  </w:style>
  <w:style w:type="paragraph" w:styleId="a9">
    <w:name w:val="List Paragraph"/>
    <w:basedOn w:val="a"/>
    <w:uiPriority w:val="34"/>
    <w:qFormat/>
    <w:rsid w:val="00447ECE"/>
    <w:pPr>
      <w:ind w:firstLineChars="200" w:firstLine="420"/>
    </w:pPr>
  </w:style>
  <w:style w:type="character" w:customStyle="1" w:styleId="title011">
    <w:name w:val="title011"/>
    <w:basedOn w:val="a0"/>
    <w:rsid w:val="00832973"/>
    <w:rPr>
      <w:b/>
      <w:bCs/>
      <w:color w:val="034E8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684">
              <w:marLeft w:val="0"/>
              <w:marRight w:val="0"/>
              <w:marTop w:val="0"/>
              <w:marBottom w:val="75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26453579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1387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31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0438">
                  <w:marLeft w:val="0"/>
                  <w:marRight w:val="3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403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王璐</cp:lastModifiedBy>
  <cp:revision>9</cp:revision>
  <cp:lastPrinted>2020-08-21T14:23:00Z</cp:lastPrinted>
  <dcterms:created xsi:type="dcterms:W3CDTF">2021-01-11T02:56:00Z</dcterms:created>
  <dcterms:modified xsi:type="dcterms:W3CDTF">2021-01-11T10:47:00Z</dcterms:modified>
</cp:coreProperties>
</file>